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BA3739" w14:paraId="13F86766" w14:textId="77777777" w:rsidTr="003B23CF">
        <w:trPr>
          <w:trHeight w:val="1388"/>
        </w:trPr>
        <w:tc>
          <w:tcPr>
            <w:tcW w:w="1440" w:type="dxa"/>
            <w:tcBorders>
              <w:bottom w:val="single" w:sz="1" w:space="0" w:color="000000"/>
            </w:tcBorders>
            <w:shd w:val="clear" w:color="auto" w:fill="auto"/>
          </w:tcPr>
          <w:p w14:paraId="2D0E9839" w14:textId="77777777" w:rsidR="00BA3739" w:rsidRDefault="00BA3739" w:rsidP="003B23CF">
            <w:pPr>
              <w:pStyle w:val="Zhlav"/>
              <w:snapToGrid w:val="0"/>
              <w:rPr>
                <w:b/>
                <w:spacing w:val="8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A37984" wp14:editId="09797F0B">
                  <wp:extent cx="704850" cy="6953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bottom w:val="single" w:sz="1" w:space="0" w:color="000000"/>
            </w:tcBorders>
            <w:shd w:val="clear" w:color="auto" w:fill="auto"/>
          </w:tcPr>
          <w:p w14:paraId="23F290B6" w14:textId="77777777" w:rsidR="00BA3739" w:rsidRDefault="00BA3739" w:rsidP="003B23CF">
            <w:pPr>
              <w:pStyle w:val="Zhlav"/>
              <w:snapToGrid w:val="0"/>
              <w:jc w:val="center"/>
              <w:rPr>
                <w:b/>
                <w:spacing w:val="8"/>
                <w:sz w:val="20"/>
              </w:rPr>
            </w:pPr>
          </w:p>
          <w:p w14:paraId="2BA64CF7" w14:textId="77777777" w:rsidR="00BA3739" w:rsidRDefault="00BA3739" w:rsidP="003B23CF">
            <w:pPr>
              <w:pStyle w:val="Zhlav"/>
              <w:jc w:val="center"/>
              <w:rPr>
                <w:b/>
                <w:spacing w:val="8"/>
                <w:sz w:val="20"/>
              </w:rPr>
            </w:pPr>
          </w:p>
          <w:p w14:paraId="25E37813" w14:textId="77777777" w:rsidR="00BA3739" w:rsidRDefault="00BA3739" w:rsidP="003B23CF">
            <w:pPr>
              <w:pStyle w:val="Zhlav"/>
              <w:rPr>
                <w:b/>
                <w:spacing w:val="8"/>
                <w:sz w:val="28"/>
              </w:rPr>
            </w:pPr>
            <w:r>
              <w:rPr>
                <w:b/>
                <w:spacing w:val="8"/>
                <w:sz w:val="32"/>
              </w:rPr>
              <w:t>Obec Bořitov</w:t>
            </w:r>
            <w:r>
              <w:rPr>
                <w:b/>
                <w:spacing w:val="8"/>
                <w:sz w:val="28"/>
              </w:rPr>
              <w:t xml:space="preserve">                                          nám. U Václava 11</w:t>
            </w:r>
          </w:p>
          <w:p w14:paraId="22822A4D" w14:textId="77777777" w:rsidR="00BA3739" w:rsidRDefault="00BA3739" w:rsidP="003B23CF">
            <w:pPr>
              <w:pStyle w:val="Zhlav"/>
              <w:rPr>
                <w:b/>
                <w:spacing w:val="8"/>
                <w:sz w:val="28"/>
              </w:rPr>
            </w:pPr>
            <w:r>
              <w:rPr>
                <w:b/>
                <w:spacing w:val="8"/>
                <w:sz w:val="28"/>
              </w:rPr>
              <w:t xml:space="preserve">                                                                         679 21 Bořitov</w:t>
            </w:r>
          </w:p>
          <w:p w14:paraId="769D84B1" w14:textId="77777777" w:rsidR="00BA3739" w:rsidRDefault="00BA3739" w:rsidP="003B23CF">
            <w:pPr>
              <w:pStyle w:val="Zhlav"/>
              <w:jc w:val="center"/>
              <w:rPr>
                <w:b/>
                <w:sz w:val="18"/>
              </w:rPr>
            </w:pPr>
          </w:p>
        </w:tc>
      </w:tr>
    </w:tbl>
    <w:p w14:paraId="61DA772D" w14:textId="77777777" w:rsidR="00BA3739" w:rsidRDefault="00BA3739" w:rsidP="00FA30CB">
      <w:pPr>
        <w:rPr>
          <w:rFonts w:ascii="Arial" w:hAnsi="Arial" w:cs="Arial"/>
          <w:b/>
          <w:bCs/>
          <w:sz w:val="40"/>
          <w:szCs w:val="40"/>
        </w:rPr>
      </w:pPr>
    </w:p>
    <w:p w14:paraId="104EA859" w14:textId="1C1B6410" w:rsidR="003B7FB1" w:rsidRPr="00436B12" w:rsidRDefault="00436B12" w:rsidP="00436B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36B12">
        <w:rPr>
          <w:rFonts w:ascii="Arial" w:hAnsi="Arial" w:cs="Arial"/>
          <w:b/>
          <w:bCs/>
          <w:sz w:val="40"/>
          <w:szCs w:val="40"/>
        </w:rPr>
        <w:t>Záměr obce</w:t>
      </w:r>
    </w:p>
    <w:p w14:paraId="604A1BDA" w14:textId="161B6246" w:rsidR="00436B12" w:rsidRDefault="00436B12" w:rsidP="00436B12">
      <w:pPr>
        <w:jc w:val="center"/>
        <w:rPr>
          <w:rFonts w:ascii="Arial" w:hAnsi="Arial" w:cs="Arial"/>
        </w:rPr>
      </w:pPr>
    </w:p>
    <w:p w14:paraId="3395D65F" w14:textId="2C860B7B" w:rsidR="00436B12" w:rsidRDefault="00436B1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Obec Bořitov v souladu s ustanovením § 39 odst. 1 Zákona č. 128/2000 Sb. o obcích (obecní zřízení)</w:t>
      </w:r>
      <w:r w:rsidR="00BA37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</w:t>
      </w:r>
      <w:r w:rsidR="00BA3739">
        <w:rPr>
          <w:rFonts w:ascii="Arial" w:hAnsi="Arial" w:cs="Arial"/>
        </w:rPr>
        <w:t>e znění pozdějších předpisů</w:t>
      </w:r>
      <w:r>
        <w:rPr>
          <w:rFonts w:ascii="Arial" w:hAnsi="Arial" w:cs="Arial"/>
        </w:rPr>
        <w:t> </w:t>
      </w:r>
      <w:r w:rsidR="00BA3739">
        <w:rPr>
          <w:rFonts w:ascii="Arial" w:hAnsi="Arial" w:cs="Arial"/>
        </w:rPr>
        <w:t>zve</w:t>
      </w:r>
      <w:r>
        <w:rPr>
          <w:rFonts w:ascii="Arial" w:hAnsi="Arial" w:cs="Arial"/>
        </w:rPr>
        <w:t>řejňuje</w:t>
      </w:r>
    </w:p>
    <w:p w14:paraId="0148BFA1" w14:textId="5EEC2C8C" w:rsidR="00436B12" w:rsidRDefault="00436B12" w:rsidP="00436B12">
      <w:pPr>
        <w:jc w:val="both"/>
        <w:rPr>
          <w:rFonts w:ascii="Arial" w:hAnsi="Arial" w:cs="Arial"/>
        </w:rPr>
      </w:pPr>
    </w:p>
    <w:p w14:paraId="2575E562" w14:textId="36ED9C78" w:rsidR="00436B12" w:rsidRDefault="00436B12" w:rsidP="00436B12">
      <w:pPr>
        <w:jc w:val="both"/>
        <w:rPr>
          <w:rFonts w:ascii="Arial" w:hAnsi="Arial" w:cs="Arial"/>
        </w:rPr>
      </w:pPr>
    </w:p>
    <w:p w14:paraId="54988674" w14:textId="7A6AE854" w:rsidR="00436B12" w:rsidRDefault="00436B12" w:rsidP="00436B12">
      <w:pPr>
        <w:jc w:val="both"/>
        <w:rPr>
          <w:rFonts w:ascii="Arial" w:hAnsi="Arial" w:cs="Arial"/>
        </w:rPr>
      </w:pPr>
    </w:p>
    <w:p w14:paraId="725FD6B3" w14:textId="69B19CED" w:rsidR="00436B12" w:rsidRPr="00BA3739" w:rsidRDefault="00436B12" w:rsidP="00436B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A3739">
        <w:rPr>
          <w:rFonts w:ascii="Arial" w:hAnsi="Arial" w:cs="Arial"/>
          <w:b/>
          <w:bCs/>
          <w:sz w:val="40"/>
          <w:szCs w:val="40"/>
        </w:rPr>
        <w:t>záměr prodat</w:t>
      </w:r>
    </w:p>
    <w:p w14:paraId="39CDF9E3" w14:textId="77777777" w:rsidR="00BA3739" w:rsidRDefault="00BA3739" w:rsidP="00B47A75">
      <w:pPr>
        <w:rPr>
          <w:rFonts w:ascii="Arial" w:hAnsi="Arial" w:cs="Arial"/>
        </w:rPr>
      </w:pPr>
    </w:p>
    <w:p w14:paraId="16261966" w14:textId="4EA9205E" w:rsidR="00436B12" w:rsidRDefault="00436B12" w:rsidP="00436B12">
      <w:pPr>
        <w:jc w:val="center"/>
        <w:rPr>
          <w:rFonts w:ascii="Arial" w:hAnsi="Arial" w:cs="Arial"/>
        </w:rPr>
      </w:pPr>
    </w:p>
    <w:p w14:paraId="494B8679" w14:textId="7696EB73" w:rsidR="00436B12" w:rsidRDefault="00E45FA0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B0FC2">
        <w:rPr>
          <w:rFonts w:ascii="Arial" w:hAnsi="Arial" w:cs="Arial"/>
        </w:rPr>
        <w:t>íže uvedené pozemky v </w:t>
      </w:r>
      <w:proofErr w:type="spellStart"/>
      <w:r w:rsidR="009B0FC2">
        <w:rPr>
          <w:rFonts w:ascii="Arial" w:hAnsi="Arial" w:cs="Arial"/>
        </w:rPr>
        <w:t>k.ú</w:t>
      </w:r>
      <w:proofErr w:type="spellEnd"/>
      <w:r w:rsidR="009B0FC2">
        <w:rPr>
          <w:rFonts w:ascii="Arial" w:hAnsi="Arial" w:cs="Arial"/>
        </w:rPr>
        <w:t xml:space="preserve">. Bořitov, </w:t>
      </w:r>
      <w:r w:rsidR="00436B12">
        <w:rPr>
          <w:rFonts w:ascii="Arial" w:hAnsi="Arial" w:cs="Arial"/>
        </w:rPr>
        <w:t>zapsané na LV 10001</w:t>
      </w:r>
    </w:p>
    <w:p w14:paraId="233BDD2F" w14:textId="4AA1187C" w:rsidR="009B0FC2" w:rsidRDefault="009B0FC2" w:rsidP="00436B12">
      <w:pPr>
        <w:jc w:val="both"/>
        <w:rPr>
          <w:rFonts w:ascii="Arial" w:hAnsi="Arial" w:cs="Arial"/>
        </w:rPr>
      </w:pPr>
    </w:p>
    <w:p w14:paraId="57CE572E" w14:textId="580E932A" w:rsidR="009B0FC2" w:rsidRDefault="00E45FA0" w:rsidP="00436B12">
      <w:pPr>
        <w:jc w:val="both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p.</w:t>
      </w:r>
      <w:r w:rsidR="009B0FC2">
        <w:rPr>
          <w:rFonts w:ascii="Arial" w:hAnsi="Arial" w:cs="Arial"/>
        </w:rPr>
        <w:t>č</w:t>
      </w:r>
      <w:proofErr w:type="spellEnd"/>
      <w:r w:rsidR="009B0FC2">
        <w:rPr>
          <w:rFonts w:ascii="Arial" w:hAnsi="Arial" w:cs="Arial"/>
        </w:rPr>
        <w:t xml:space="preserve">. </w:t>
      </w:r>
      <w:r w:rsidR="0040028F">
        <w:rPr>
          <w:rFonts w:ascii="Arial" w:hAnsi="Arial" w:cs="Arial"/>
        </w:rPr>
        <w:t>2486, trvalý travní porost</w:t>
      </w:r>
      <w:r w:rsidR="009B0FC2">
        <w:rPr>
          <w:rFonts w:ascii="Arial" w:hAnsi="Arial" w:cs="Arial"/>
        </w:rPr>
        <w:t xml:space="preserve"> o výměře </w:t>
      </w:r>
      <w:r w:rsidR="0040028F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  <w:r w:rsidR="009B0FC2">
        <w:rPr>
          <w:rFonts w:ascii="Arial" w:hAnsi="Arial" w:cs="Arial"/>
        </w:rPr>
        <w:t xml:space="preserve"> m</w:t>
      </w:r>
      <w:r w:rsidR="009B0FC2">
        <w:rPr>
          <w:rFonts w:ascii="Arial" w:hAnsi="Arial" w:cs="Arial"/>
          <w:vertAlign w:val="superscript"/>
        </w:rPr>
        <w:t>2</w:t>
      </w:r>
      <w:r w:rsidR="009B0FC2">
        <w:rPr>
          <w:rFonts w:ascii="Arial" w:hAnsi="Arial" w:cs="Arial"/>
        </w:rPr>
        <w:tab/>
      </w:r>
      <w:r w:rsidR="009B0FC2">
        <w:rPr>
          <w:rFonts w:ascii="Arial" w:hAnsi="Arial" w:cs="Arial"/>
        </w:rPr>
        <w:tab/>
      </w:r>
      <w:r w:rsidR="009B0FC2">
        <w:rPr>
          <w:rFonts w:ascii="Arial" w:hAnsi="Arial" w:cs="Arial"/>
        </w:rPr>
        <w:tab/>
      </w:r>
      <w:r w:rsidR="009B0FC2">
        <w:rPr>
          <w:rFonts w:ascii="Arial" w:hAnsi="Arial" w:cs="Arial"/>
        </w:rPr>
        <w:tab/>
      </w:r>
    </w:p>
    <w:p w14:paraId="059EB0E5" w14:textId="77978070" w:rsidR="009B0FC2" w:rsidRDefault="009B0FC2" w:rsidP="00436B1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</w:t>
      </w:r>
      <w:r w:rsidR="0040028F">
        <w:rPr>
          <w:rFonts w:ascii="Arial" w:hAnsi="Arial" w:cs="Arial"/>
        </w:rPr>
        <w:t>2487, trvalý travní porost</w:t>
      </w:r>
      <w:r>
        <w:rPr>
          <w:rFonts w:ascii="Arial" w:hAnsi="Arial" w:cs="Arial"/>
        </w:rPr>
        <w:t xml:space="preserve"> o výměře </w:t>
      </w:r>
      <w:r w:rsidR="00E45FA0">
        <w:rPr>
          <w:rFonts w:ascii="Arial" w:hAnsi="Arial" w:cs="Arial"/>
        </w:rPr>
        <w:t>1</w:t>
      </w:r>
      <w:r w:rsidR="0040028F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96C29A" w14:textId="2CF31B32" w:rsidR="009B0FC2" w:rsidRDefault="009B0FC2" w:rsidP="00436B12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A2EE52" w14:textId="349DCCE1" w:rsidR="00436B12" w:rsidRDefault="00436B12" w:rsidP="00436B12">
      <w:pPr>
        <w:jc w:val="both"/>
        <w:rPr>
          <w:rFonts w:ascii="Arial" w:hAnsi="Arial" w:cs="Arial"/>
        </w:rPr>
      </w:pPr>
    </w:p>
    <w:p w14:paraId="24C9AEC7" w14:textId="3ED6A06B" w:rsidR="00436B12" w:rsidRDefault="0040028F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 situační výkres</w:t>
      </w:r>
    </w:p>
    <w:p w14:paraId="6726B853" w14:textId="537A42BC" w:rsidR="00436B12" w:rsidRDefault="00436B12" w:rsidP="00436B12">
      <w:pPr>
        <w:jc w:val="both"/>
        <w:rPr>
          <w:rFonts w:ascii="Arial" w:hAnsi="Arial" w:cs="Arial"/>
        </w:rPr>
      </w:pPr>
    </w:p>
    <w:p w14:paraId="145F066F" w14:textId="1C868587" w:rsidR="00436B12" w:rsidRDefault="00436B12" w:rsidP="00436B12">
      <w:pPr>
        <w:jc w:val="both"/>
        <w:rPr>
          <w:rFonts w:ascii="Arial" w:hAnsi="Arial" w:cs="Arial"/>
        </w:rPr>
      </w:pPr>
    </w:p>
    <w:p w14:paraId="6FBD3E2B" w14:textId="4A06E551" w:rsidR="00436B12" w:rsidRDefault="00436B12" w:rsidP="00436B12">
      <w:pPr>
        <w:jc w:val="both"/>
        <w:rPr>
          <w:rFonts w:ascii="Arial" w:hAnsi="Arial" w:cs="Arial"/>
        </w:rPr>
      </w:pPr>
    </w:p>
    <w:p w14:paraId="05982B46" w14:textId="6A77F363" w:rsidR="00436B12" w:rsidRDefault="00436B1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Vyvěšeno:</w:t>
      </w:r>
      <w:r w:rsidR="004353BA">
        <w:rPr>
          <w:rFonts w:ascii="Arial" w:hAnsi="Arial" w:cs="Arial"/>
        </w:rPr>
        <w:tab/>
      </w:r>
      <w:r w:rsidR="0040028F">
        <w:rPr>
          <w:rFonts w:ascii="Arial" w:hAnsi="Arial" w:cs="Arial"/>
        </w:rPr>
        <w:t>6</w:t>
      </w:r>
      <w:r w:rsidR="00E14207">
        <w:rPr>
          <w:rFonts w:ascii="Arial" w:hAnsi="Arial" w:cs="Arial"/>
        </w:rPr>
        <w:t>.</w:t>
      </w:r>
      <w:r w:rsidR="0040028F">
        <w:rPr>
          <w:rFonts w:ascii="Arial" w:hAnsi="Arial" w:cs="Arial"/>
        </w:rPr>
        <w:t>6</w:t>
      </w:r>
      <w:r w:rsidR="00E14207">
        <w:rPr>
          <w:rFonts w:ascii="Arial" w:hAnsi="Arial" w:cs="Arial"/>
        </w:rPr>
        <w:t>. 202</w:t>
      </w:r>
      <w:r w:rsidR="009B0FC2">
        <w:rPr>
          <w:rFonts w:ascii="Arial" w:hAnsi="Arial" w:cs="Arial"/>
        </w:rPr>
        <w:t>3</w:t>
      </w:r>
    </w:p>
    <w:p w14:paraId="57AD9A90" w14:textId="3BEDDF35" w:rsidR="00436B12" w:rsidRDefault="00436B12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Sejmuto:</w:t>
      </w:r>
    </w:p>
    <w:p w14:paraId="1CED71D0" w14:textId="77777777" w:rsidR="007231A3" w:rsidRDefault="007231A3" w:rsidP="00436B12">
      <w:pPr>
        <w:jc w:val="both"/>
        <w:rPr>
          <w:rFonts w:ascii="Arial" w:hAnsi="Arial" w:cs="Arial"/>
        </w:rPr>
      </w:pPr>
    </w:p>
    <w:p w14:paraId="48BC305B" w14:textId="79751D2E" w:rsidR="00FA30CB" w:rsidRDefault="00FA30CB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D55B96" w14:textId="77777777" w:rsidR="00FA30CB" w:rsidRDefault="00FA30CB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Antonín Fojt</w:t>
      </w:r>
    </w:p>
    <w:p w14:paraId="1348C024" w14:textId="75595D56" w:rsidR="00FA30CB" w:rsidRPr="00436B12" w:rsidRDefault="00FA30CB" w:rsidP="0043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obce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A30CB" w:rsidRPr="0043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12"/>
    <w:rsid w:val="00206C54"/>
    <w:rsid w:val="003B7FB1"/>
    <w:rsid w:val="0040028F"/>
    <w:rsid w:val="004353BA"/>
    <w:rsid w:val="00436B12"/>
    <w:rsid w:val="004D6C39"/>
    <w:rsid w:val="00580C70"/>
    <w:rsid w:val="005D67EF"/>
    <w:rsid w:val="007231A3"/>
    <w:rsid w:val="009B0FC2"/>
    <w:rsid w:val="00B22364"/>
    <w:rsid w:val="00B47A75"/>
    <w:rsid w:val="00BA3739"/>
    <w:rsid w:val="00BB7945"/>
    <w:rsid w:val="00E14207"/>
    <w:rsid w:val="00E45FA0"/>
    <w:rsid w:val="00EC4DAD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2F71"/>
  <w15:chartTrackingRefBased/>
  <w15:docId w15:val="{2F17D894-B17B-4959-B821-A7943B8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37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BA37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Fojt</dc:creator>
  <cp:keywords/>
  <dc:description/>
  <cp:lastModifiedBy>Antonín Fojt</cp:lastModifiedBy>
  <cp:revision>3</cp:revision>
  <cp:lastPrinted>2023-06-06T12:24:00Z</cp:lastPrinted>
  <dcterms:created xsi:type="dcterms:W3CDTF">2023-06-06T12:22:00Z</dcterms:created>
  <dcterms:modified xsi:type="dcterms:W3CDTF">2023-06-06T12:26:00Z</dcterms:modified>
</cp:coreProperties>
</file>